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7A4" w:rsidRDefault="009D1BDF">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5137A4" w:rsidRDefault="009D1BDF">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1.013276</w:t>
      </w:r>
    </w:p>
    <w:p w:rsidR="005137A4" w:rsidRDefault="009D1BDF">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5137A4" w:rsidRDefault="009D1BDF">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Chấp thuận bổ sung vị trí nút giao đấu nối vào đường cao tốc</w:t>
      </w:r>
    </w:p>
    <w:p w:rsidR="005137A4" w:rsidRDefault="009D1BDF">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5137A4" w:rsidRDefault="009D1BDF">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5137A4" w:rsidRDefault="009D1BDF">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5137A4" w:rsidRDefault="009D1BDF">
      <w:pPr>
        <w:spacing w:after="0" w:line="276" w:lineRule="auto"/>
        <w:jc w:val="both"/>
      </w:pPr>
      <w:r>
        <w:rPr>
          <w:rFonts w:ascii="Times New Roman" w:eastAsia="Times New Roman" w:hAnsi="Times New Roman" w:cs="Times New Roman"/>
          <w:b/>
          <w:sz w:val="26"/>
        </w:rPr>
        <w:t xml:space="preserve">Trình tự thực hiện: </w:t>
      </w:r>
    </w:p>
    <w:p w:rsidR="005137A4" w:rsidRDefault="005137A4">
      <w:pPr>
        <w:shd w:val="clear" w:color="auto" w:fill="F2F6F9"/>
        <w:spacing w:before="120" w:after="0" w:line="276" w:lineRule="auto"/>
        <w:jc w:val="both"/>
      </w:pPr>
    </w:p>
    <w:p w:rsidR="005137A4" w:rsidRDefault="009D1BDF">
      <w:pPr>
        <w:spacing w:after="0" w:line="276" w:lineRule="auto"/>
        <w:jc w:val="both"/>
      </w:pPr>
      <w:r>
        <w:rPr>
          <w:rFonts w:ascii="Times New Roman" w:eastAsia="Times New Roman" w:hAnsi="Times New Roman" w:cs="Times New Roman"/>
          <w:sz w:val="26"/>
        </w:rPr>
        <w:t>a) Nộp hồ sơ TTHC: Cơ quan, tổ chức đề nghị đấu nối vào đường cao tốc nộp bộ hồ sơ đề nghị đến Bộ Xây dựng, Ủy ban nhân dân cấp tỉnh chấp thuận bổ sung vị trí đấu nối với đường cao tốc thuộc phạm vi quản lý.</w:t>
      </w:r>
    </w:p>
    <w:p w:rsidR="005137A4" w:rsidRDefault="009D1BDF">
      <w:pPr>
        <w:spacing w:after="0" w:line="276" w:lineRule="auto"/>
        <w:jc w:val="both"/>
      </w:pPr>
      <w:r>
        <w:rPr>
          <w:rFonts w:ascii="Times New Roman" w:eastAsia="Times New Roman" w:hAnsi="Times New Roman" w:cs="Times New Roman"/>
          <w:sz w:val="26"/>
        </w:rPr>
        <w:t>b) Giải quyết TTHC: Cơ qua</w:t>
      </w:r>
      <w:r>
        <w:rPr>
          <w:rFonts w:ascii="Times New Roman" w:eastAsia="Times New Roman" w:hAnsi="Times New Roman" w:cs="Times New Roman"/>
          <w:sz w:val="26"/>
        </w:rPr>
        <w:t>n có thẩm quyền giải quyết thủ tục hành chính thực hiện tiếp nhận, kiểm tra hồ sơ và xử lý như sau: - Đối với trường hợp nộp trực tiếp, sau khi kiểm tra thành phần hồ sơ, nếu đúng quy định thì tiếp nhận hồ sơ và viết phiếu hẹn trả kết quả; hướng dẫn tổ chứ</w:t>
      </w:r>
      <w:r>
        <w:rPr>
          <w:rFonts w:ascii="Times New Roman" w:eastAsia="Times New Roman" w:hAnsi="Times New Roman" w:cs="Times New Roman"/>
          <w:sz w:val="26"/>
        </w:rPr>
        <w:t>c, cá nhân hoàn thiện hồ sơ đối với trường hợp không đủ thành phần hồ sơ; Đối với trường hợp nộp gián tiếp, trong phạm vi 02 ngày làm việc kể từ ngày nhận được hồ sơ, kiểm tra thành phần hồ sơ, nếu không đủ thành phần hồ sơ có văn bản thông báo đến tổ chức</w:t>
      </w:r>
      <w:r>
        <w:rPr>
          <w:rFonts w:ascii="Times New Roman" w:eastAsia="Times New Roman" w:hAnsi="Times New Roman" w:cs="Times New Roman"/>
          <w:sz w:val="26"/>
        </w:rPr>
        <w:t>, cá nhân để bổ sung, hoàn thiện; Trường hợp phải lấy ý kiến của các cơ quan thì sau 02 ngày làm việc kể từ ngày nhận đủ thành phần hồ sơ, cơ quan có thẩm quyền giải quyết thủ tục hành chính tiến hành lấy ý kiến. Cơ quan, tổ chức được lấy ý kiến có trách n</w:t>
      </w:r>
      <w:r>
        <w:rPr>
          <w:rFonts w:ascii="Times New Roman" w:eastAsia="Times New Roman" w:hAnsi="Times New Roman" w:cs="Times New Roman"/>
          <w:sz w:val="26"/>
        </w:rPr>
        <w:t>hiệm trả lời Bộ Xây dựng hoặc Ủy ban nhân dân cấp tỉnh trong thời hạn không quá 07 ngày làm việc, kể từ ngày nhận được đề nghị của cơ quan có thẩm quyền. - Trong thời hạn không quá 07 ngày làm việc kể từ khi nhận được hồ sơ đề nghị hoặc 7 ngày sau khi nhận</w:t>
      </w:r>
      <w:r>
        <w:rPr>
          <w:rFonts w:ascii="Times New Roman" w:eastAsia="Times New Roman" w:hAnsi="Times New Roman" w:cs="Times New Roman"/>
          <w:sz w:val="26"/>
        </w:rPr>
        <w:t xml:space="preserve"> được ý kiến của các cơ quan (đối với trường hợp phải lấy ý kiến), cơ quan có thẩm quyền giải quyết thủ tục hành chính tiến hành kiểm tra nếu đủ điều kiện thì có văn bản chấp thuận nút giao đấu nối vào đường bộ. Trường hợp không chấp thuận thì phải có văn </w:t>
      </w:r>
      <w:r>
        <w:rPr>
          <w:rFonts w:ascii="Times New Roman" w:eastAsia="Times New Roman" w:hAnsi="Times New Roman" w:cs="Times New Roman"/>
          <w:sz w:val="26"/>
        </w:rPr>
        <w:t>bản trả lời và nêu rõ lý do.</w:t>
      </w:r>
    </w:p>
    <w:p w:rsidR="005137A4" w:rsidRDefault="009D1BDF">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854"/>
        <w:gridCol w:w="898"/>
        <w:gridCol w:w="1034"/>
        <w:gridCol w:w="6625"/>
      </w:tblGrid>
      <w:tr w:rsidR="005137A4">
        <w:tblPrEx>
          <w:tblCellMar>
            <w:top w:w="0" w:type="dxa"/>
            <w:bottom w:w="0" w:type="dxa"/>
          </w:tblCellMar>
        </w:tblPrEx>
        <w:tc>
          <w:tcPr>
            <w:tcW w:w="1500" w:type="dxa"/>
          </w:tcPr>
          <w:p w:rsidR="005137A4" w:rsidRDefault="005137A4"/>
          <w:p w:rsidR="005137A4" w:rsidRDefault="009D1BDF">
            <w:pPr>
              <w:spacing w:after="0" w:line="276" w:lineRule="auto"/>
              <w:jc w:val="center"/>
            </w:pPr>
            <w:r>
              <w:rPr>
                <w:rFonts w:ascii="Times New Roman" w:eastAsia="Times New Roman" w:hAnsi="Times New Roman" w:cs="Times New Roman"/>
                <w:b/>
                <w:sz w:val="26"/>
              </w:rPr>
              <w:t>Hình thức nộp</w:t>
            </w:r>
          </w:p>
        </w:tc>
        <w:tc>
          <w:tcPr>
            <w:tcW w:w="2000" w:type="dxa"/>
          </w:tcPr>
          <w:p w:rsidR="005137A4" w:rsidRDefault="005137A4"/>
          <w:p w:rsidR="005137A4" w:rsidRDefault="009D1BDF">
            <w:pPr>
              <w:spacing w:after="0" w:line="276" w:lineRule="auto"/>
              <w:jc w:val="center"/>
            </w:pPr>
            <w:r>
              <w:rPr>
                <w:rFonts w:ascii="Times New Roman" w:eastAsia="Times New Roman" w:hAnsi="Times New Roman" w:cs="Times New Roman"/>
                <w:b/>
                <w:sz w:val="26"/>
              </w:rPr>
              <w:t>Thời hạn giải quyết</w:t>
            </w:r>
          </w:p>
        </w:tc>
        <w:tc>
          <w:tcPr>
            <w:tcW w:w="3500" w:type="dxa"/>
          </w:tcPr>
          <w:p w:rsidR="005137A4" w:rsidRDefault="005137A4"/>
          <w:p w:rsidR="005137A4" w:rsidRDefault="009D1BDF">
            <w:pPr>
              <w:spacing w:after="0" w:line="276" w:lineRule="auto"/>
              <w:jc w:val="center"/>
            </w:pPr>
            <w:r>
              <w:rPr>
                <w:rFonts w:ascii="Times New Roman" w:eastAsia="Times New Roman" w:hAnsi="Times New Roman" w:cs="Times New Roman"/>
                <w:b/>
                <w:sz w:val="26"/>
              </w:rPr>
              <w:t>Phí, lệ phí</w:t>
            </w:r>
          </w:p>
        </w:tc>
        <w:tc>
          <w:tcPr>
            <w:tcW w:w="3000" w:type="dxa"/>
          </w:tcPr>
          <w:p w:rsidR="005137A4" w:rsidRDefault="005137A4"/>
          <w:p w:rsidR="005137A4" w:rsidRDefault="009D1BDF">
            <w:pPr>
              <w:spacing w:after="0" w:line="276" w:lineRule="auto"/>
              <w:jc w:val="center"/>
            </w:pPr>
            <w:r>
              <w:rPr>
                <w:rFonts w:ascii="Times New Roman" w:eastAsia="Times New Roman" w:hAnsi="Times New Roman" w:cs="Times New Roman"/>
                <w:b/>
                <w:sz w:val="26"/>
              </w:rPr>
              <w:t>Mô tả</w:t>
            </w:r>
          </w:p>
        </w:tc>
      </w:tr>
      <w:tr w:rsidR="005137A4">
        <w:tblPrEx>
          <w:tblCellMar>
            <w:top w:w="0" w:type="dxa"/>
            <w:bottom w:w="0" w:type="dxa"/>
          </w:tblCellMar>
        </w:tblPrEx>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t>Trực tiếp</w:t>
            </w:r>
          </w:p>
        </w:tc>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t xml:space="preserve">7 Ngày làm </w:t>
            </w:r>
            <w:r>
              <w:rPr>
                <w:rFonts w:ascii="Times New Roman" w:eastAsia="Times New Roman" w:hAnsi="Times New Roman" w:cs="Times New Roman"/>
                <w:sz w:val="26"/>
              </w:rPr>
              <w:lastRenderedPageBreak/>
              <w:t>việc</w:t>
            </w:r>
          </w:p>
        </w:tc>
        <w:tc>
          <w:tcPr>
            <w:tcW w:w="0" w:type="auto"/>
          </w:tcPr>
          <w:p w:rsidR="005137A4" w:rsidRDefault="005137A4"/>
          <w:p w:rsidR="005137A4" w:rsidRDefault="005137A4">
            <w:pPr>
              <w:spacing w:after="0" w:line="276" w:lineRule="auto"/>
            </w:pPr>
          </w:p>
        </w:tc>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t>Trường hợp không phải lấy ý kiến: 07 ngày làm việc kể từ khi nhận được hồ sơ đúng quy định.</w:t>
            </w:r>
          </w:p>
        </w:tc>
      </w:tr>
      <w:tr w:rsidR="005137A4">
        <w:tblPrEx>
          <w:tblCellMar>
            <w:top w:w="0" w:type="dxa"/>
            <w:bottom w:w="0" w:type="dxa"/>
          </w:tblCellMar>
        </w:tblPrEx>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t>Trực tiếp</w:t>
            </w:r>
          </w:p>
        </w:tc>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t xml:space="preserve"> </w:t>
            </w:r>
          </w:p>
        </w:tc>
        <w:tc>
          <w:tcPr>
            <w:tcW w:w="0" w:type="auto"/>
          </w:tcPr>
          <w:p w:rsidR="005137A4" w:rsidRDefault="005137A4"/>
          <w:p w:rsidR="005137A4" w:rsidRDefault="005137A4">
            <w:pPr>
              <w:spacing w:after="0" w:line="276" w:lineRule="auto"/>
            </w:pPr>
          </w:p>
        </w:tc>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t xml:space="preserve">Trường </w:t>
            </w:r>
            <w:r>
              <w:rPr>
                <w:rFonts w:ascii="Times New Roman" w:eastAsia="Times New Roman" w:hAnsi="Times New Roman" w:cs="Times New Roman"/>
                <w:sz w:val="26"/>
              </w:rPr>
              <w:t>hợp phải lấy ý kiến: + Thời hạn tiến hành lấy ý kiến: 02 ngày làm việc kể từ ngày nhận đủ thành phần hồ sơ; + Thời hạn cơ quan, tổ chức được lấy ý kiến trả lời: 07 ngày làm việc, kể từ ngày nhận được đề nghị của cơ quan có thẩm quyền. + Thời hạn có văn bản</w:t>
            </w:r>
            <w:r>
              <w:rPr>
                <w:rFonts w:ascii="Times New Roman" w:eastAsia="Times New Roman" w:hAnsi="Times New Roman" w:cs="Times New Roman"/>
                <w:sz w:val="26"/>
              </w:rPr>
              <w:t xml:space="preserve"> chấp thuận: 07 ngày sau khi nhận được ý kiến của các cơ quan.</w:t>
            </w:r>
          </w:p>
        </w:tc>
      </w:tr>
      <w:tr w:rsidR="005137A4">
        <w:tblPrEx>
          <w:tblCellMar>
            <w:top w:w="0" w:type="dxa"/>
            <w:bottom w:w="0" w:type="dxa"/>
          </w:tblCellMar>
        </w:tblPrEx>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t>Trực tuyến</w:t>
            </w:r>
          </w:p>
        </w:tc>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t>7 Ngày làm việc</w:t>
            </w:r>
          </w:p>
        </w:tc>
        <w:tc>
          <w:tcPr>
            <w:tcW w:w="0" w:type="auto"/>
          </w:tcPr>
          <w:p w:rsidR="005137A4" w:rsidRDefault="005137A4"/>
          <w:p w:rsidR="005137A4" w:rsidRDefault="005137A4">
            <w:pPr>
              <w:spacing w:after="0" w:line="276" w:lineRule="auto"/>
            </w:pPr>
          </w:p>
        </w:tc>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t>Trường hợp không phải lấy ý kiến: 07 ngày làm việc kể từ khi nhận được hồ sơ đúng quy định.</w:t>
            </w:r>
          </w:p>
        </w:tc>
      </w:tr>
      <w:tr w:rsidR="005137A4">
        <w:tblPrEx>
          <w:tblCellMar>
            <w:top w:w="0" w:type="dxa"/>
            <w:bottom w:w="0" w:type="dxa"/>
          </w:tblCellMar>
        </w:tblPrEx>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t>Trực tuyến</w:t>
            </w:r>
          </w:p>
        </w:tc>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t xml:space="preserve"> </w:t>
            </w:r>
          </w:p>
        </w:tc>
        <w:tc>
          <w:tcPr>
            <w:tcW w:w="0" w:type="auto"/>
          </w:tcPr>
          <w:p w:rsidR="005137A4" w:rsidRDefault="005137A4"/>
          <w:p w:rsidR="005137A4" w:rsidRDefault="005137A4">
            <w:pPr>
              <w:spacing w:after="0" w:line="276" w:lineRule="auto"/>
            </w:pPr>
          </w:p>
        </w:tc>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t xml:space="preserve">Trường hợp phải lấy ý kiến: + Thời hạn tiến hành </w:t>
            </w:r>
            <w:r>
              <w:rPr>
                <w:rFonts w:ascii="Times New Roman" w:eastAsia="Times New Roman" w:hAnsi="Times New Roman" w:cs="Times New Roman"/>
                <w:sz w:val="26"/>
              </w:rPr>
              <w:t>lấy ý kiến: 02 ngày làm việc kể từ ngày nhận đủ thành phần hồ sơ; + Thời hạn cơ quan, tổ chức được lấy ý kiến trả lời: 07 ngày làm việc, kể từ ngày nhận được đề nghị của cơ quan có thẩm quyền. + Thời hạn có văn bản chấp thuận: 07 ngày sau khi nhận được ý k</w:t>
            </w:r>
            <w:r>
              <w:rPr>
                <w:rFonts w:ascii="Times New Roman" w:eastAsia="Times New Roman" w:hAnsi="Times New Roman" w:cs="Times New Roman"/>
                <w:sz w:val="26"/>
              </w:rPr>
              <w:t>iến của các cơ quan.</w:t>
            </w:r>
          </w:p>
        </w:tc>
      </w:tr>
      <w:tr w:rsidR="005137A4">
        <w:tblPrEx>
          <w:tblCellMar>
            <w:top w:w="0" w:type="dxa"/>
            <w:bottom w:w="0" w:type="dxa"/>
          </w:tblCellMar>
        </w:tblPrEx>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t>Dịch vụ bưu chính</w:t>
            </w:r>
          </w:p>
        </w:tc>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t>7 Ngày làm việc</w:t>
            </w:r>
          </w:p>
        </w:tc>
        <w:tc>
          <w:tcPr>
            <w:tcW w:w="0" w:type="auto"/>
          </w:tcPr>
          <w:p w:rsidR="005137A4" w:rsidRDefault="005137A4"/>
          <w:p w:rsidR="005137A4" w:rsidRDefault="005137A4">
            <w:pPr>
              <w:spacing w:after="0" w:line="276" w:lineRule="auto"/>
            </w:pPr>
          </w:p>
        </w:tc>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t>Trường hợp không phải lấy ý kiến: 07 ngày làm việc kể từ khi nhận được hồ sơ đúng quy định.</w:t>
            </w:r>
          </w:p>
        </w:tc>
      </w:tr>
      <w:tr w:rsidR="005137A4">
        <w:tblPrEx>
          <w:tblCellMar>
            <w:top w:w="0" w:type="dxa"/>
            <w:bottom w:w="0" w:type="dxa"/>
          </w:tblCellMar>
        </w:tblPrEx>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t>Dịch vụ bưu chính</w:t>
            </w:r>
          </w:p>
        </w:tc>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t xml:space="preserve"> </w:t>
            </w:r>
          </w:p>
        </w:tc>
        <w:tc>
          <w:tcPr>
            <w:tcW w:w="0" w:type="auto"/>
          </w:tcPr>
          <w:p w:rsidR="005137A4" w:rsidRDefault="005137A4"/>
          <w:p w:rsidR="005137A4" w:rsidRDefault="005137A4">
            <w:pPr>
              <w:spacing w:after="0" w:line="276" w:lineRule="auto"/>
            </w:pPr>
          </w:p>
        </w:tc>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t>Trường hợp phải lấy ý kiến: + Thời hạn tiến hành lấy ý kiến: 02 ngày làm việc</w:t>
            </w:r>
            <w:r>
              <w:rPr>
                <w:rFonts w:ascii="Times New Roman" w:eastAsia="Times New Roman" w:hAnsi="Times New Roman" w:cs="Times New Roman"/>
                <w:sz w:val="26"/>
              </w:rPr>
              <w:t xml:space="preserve"> kể từ ngày nhận đủ thành phần hồ sơ; + Thời hạn cơ quan, tổ chức được lấy ý kiến trả lời: 07 ngày làm việc, kể từ ngày nhận được đề nghị của cơ quan có thẩm quyền. + Thời hạn có văn bản chấp thuận: 07 ngày sau khi nhận được ý kiến của các cơ quan.</w:t>
            </w:r>
          </w:p>
        </w:tc>
      </w:tr>
    </w:tbl>
    <w:p w:rsidR="005137A4" w:rsidRDefault="009D1BDF">
      <w:pPr>
        <w:spacing w:before="240" w:after="0" w:line="276" w:lineRule="auto"/>
        <w:jc w:val="both"/>
      </w:pPr>
      <w:r>
        <w:rPr>
          <w:rFonts w:ascii="Times New Roman" w:eastAsia="Times New Roman" w:hAnsi="Times New Roman" w:cs="Times New Roman"/>
          <w:b/>
          <w:sz w:val="26"/>
        </w:rPr>
        <w:t xml:space="preserve">Thành </w:t>
      </w:r>
      <w:r>
        <w:rPr>
          <w:rFonts w:ascii="Times New Roman" w:eastAsia="Times New Roman" w:hAnsi="Times New Roman" w:cs="Times New Roman"/>
          <w:b/>
          <w:sz w:val="26"/>
        </w:rPr>
        <w:t xml:space="preserve">phần hồ sơ: </w:t>
      </w:r>
    </w:p>
    <w:p w:rsidR="005137A4" w:rsidRDefault="009D1BDF">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736"/>
        <w:gridCol w:w="1501"/>
        <w:gridCol w:w="1174"/>
      </w:tblGrid>
      <w:tr w:rsidR="005137A4">
        <w:tblPrEx>
          <w:tblCellMar>
            <w:top w:w="0" w:type="dxa"/>
            <w:bottom w:w="0" w:type="dxa"/>
          </w:tblCellMar>
        </w:tblPrEx>
        <w:tc>
          <w:tcPr>
            <w:tcW w:w="6000" w:type="dxa"/>
          </w:tcPr>
          <w:p w:rsidR="005137A4" w:rsidRDefault="005137A4"/>
          <w:p w:rsidR="005137A4" w:rsidRDefault="009D1BDF">
            <w:pPr>
              <w:spacing w:after="0" w:line="276" w:lineRule="auto"/>
              <w:jc w:val="center"/>
            </w:pPr>
            <w:r>
              <w:rPr>
                <w:rFonts w:ascii="Times New Roman" w:eastAsia="Times New Roman" w:hAnsi="Times New Roman" w:cs="Times New Roman"/>
                <w:b/>
                <w:sz w:val="26"/>
              </w:rPr>
              <w:t>Tên giấy tờ</w:t>
            </w:r>
          </w:p>
        </w:tc>
        <w:tc>
          <w:tcPr>
            <w:tcW w:w="2000" w:type="dxa"/>
          </w:tcPr>
          <w:p w:rsidR="005137A4" w:rsidRDefault="005137A4"/>
          <w:p w:rsidR="005137A4" w:rsidRDefault="009D1BDF">
            <w:pPr>
              <w:spacing w:after="0" w:line="276" w:lineRule="auto"/>
              <w:jc w:val="center"/>
            </w:pPr>
            <w:r>
              <w:rPr>
                <w:rFonts w:ascii="Times New Roman" w:eastAsia="Times New Roman" w:hAnsi="Times New Roman" w:cs="Times New Roman"/>
                <w:b/>
                <w:sz w:val="26"/>
              </w:rPr>
              <w:t>Mẫu đơn, tờ khai</w:t>
            </w:r>
          </w:p>
        </w:tc>
        <w:tc>
          <w:tcPr>
            <w:tcW w:w="2000" w:type="dxa"/>
          </w:tcPr>
          <w:p w:rsidR="005137A4" w:rsidRDefault="005137A4"/>
          <w:p w:rsidR="005137A4" w:rsidRDefault="009D1BDF">
            <w:pPr>
              <w:spacing w:after="0" w:line="276" w:lineRule="auto"/>
              <w:jc w:val="center"/>
            </w:pPr>
            <w:r>
              <w:rPr>
                <w:rFonts w:ascii="Times New Roman" w:eastAsia="Times New Roman" w:hAnsi="Times New Roman" w:cs="Times New Roman"/>
                <w:b/>
                <w:sz w:val="26"/>
              </w:rPr>
              <w:t>Số lượng</w:t>
            </w:r>
          </w:p>
        </w:tc>
      </w:tr>
      <w:tr w:rsidR="005137A4">
        <w:tblPrEx>
          <w:tblCellMar>
            <w:top w:w="0" w:type="dxa"/>
            <w:bottom w:w="0" w:type="dxa"/>
          </w:tblCellMar>
        </w:tblPrEx>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lastRenderedPageBreak/>
              <w:t>Văn bản đề nghị đấu nối vào đường cao tốc (bản chính) theo mẫu</w:t>
            </w:r>
          </w:p>
        </w:tc>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lastRenderedPageBreak/>
              <w:t>Mucb.docx</w:t>
            </w:r>
          </w:p>
        </w:tc>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lastRenderedPageBreak/>
              <w:t>Bản chính: 1</w:t>
            </w:r>
            <w:r>
              <w:rPr>
                <w:rFonts w:ascii="Times New Roman" w:eastAsia="Times New Roman" w:hAnsi="Times New Roman" w:cs="Times New Roman"/>
                <w:sz w:val="26"/>
              </w:rPr>
              <w:br/>
              <w:t>Bản sao: 0</w:t>
            </w:r>
          </w:p>
        </w:tc>
      </w:tr>
      <w:tr w:rsidR="005137A4">
        <w:tblPrEx>
          <w:tblCellMar>
            <w:top w:w="0" w:type="dxa"/>
            <w:bottom w:w="0" w:type="dxa"/>
          </w:tblCellMar>
        </w:tblPrEx>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t xml:space="preserve">Bản chính hoặc bản sao có chứng thực: chủ trương đầu tư nút giao đấu nối đường khác vào </w:t>
            </w:r>
            <w:r>
              <w:rPr>
                <w:rFonts w:ascii="Times New Roman" w:eastAsia="Times New Roman" w:hAnsi="Times New Roman" w:cs="Times New Roman"/>
                <w:sz w:val="26"/>
              </w:rPr>
              <w:t>đường cao tốc, thiết kế nút giao đấu nối vào đường cao tốc (nếu có)</w:t>
            </w:r>
          </w:p>
        </w:tc>
        <w:tc>
          <w:tcPr>
            <w:tcW w:w="0" w:type="auto"/>
          </w:tcPr>
          <w:p w:rsidR="005137A4" w:rsidRDefault="005137A4"/>
        </w:tc>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5137A4" w:rsidRDefault="009D1BDF">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Doanh nghiệp có vốn đầu tư nước ngoài, Tổ chức (không bao gồm doanh nghiệp, HTX), Tổ chức nước ngoài, Hợp tác xã</w:t>
      </w:r>
    </w:p>
    <w:p w:rsidR="005137A4" w:rsidRDefault="009D1BDF">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Bộ Xây dựng, Ủy ban nhân dân cấp tỉnh</w:t>
      </w:r>
    </w:p>
    <w:p w:rsidR="005137A4" w:rsidRDefault="009D1BDF">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5137A4" w:rsidRDefault="009D1BDF">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5137A4" w:rsidRDefault="009D1BDF">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5137A4" w:rsidRDefault="009D1BDF">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5137A4" w:rsidRDefault="009D1BDF">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chấp thuận</w:t>
      </w:r>
      <w:r>
        <w:rPr>
          <w:rFonts w:ascii="Times New Roman" w:eastAsia="Times New Roman" w:hAnsi="Times New Roman" w:cs="Times New Roman"/>
          <w:sz w:val="26"/>
        </w:rPr>
        <w:t xml:space="preserve"> vị trí nút giao đấu nối</w:t>
      </w:r>
    </w:p>
    <w:p w:rsidR="005137A4" w:rsidRDefault="009D1BDF">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5137A4">
        <w:tblPrEx>
          <w:tblCellMar>
            <w:top w:w="0" w:type="dxa"/>
            <w:bottom w:w="0" w:type="dxa"/>
          </w:tblCellMar>
        </w:tblPrEx>
        <w:tc>
          <w:tcPr>
            <w:tcW w:w="2000" w:type="dxa"/>
          </w:tcPr>
          <w:p w:rsidR="005137A4" w:rsidRDefault="005137A4"/>
          <w:p w:rsidR="005137A4" w:rsidRDefault="009D1BDF">
            <w:pPr>
              <w:spacing w:after="0" w:line="276" w:lineRule="auto"/>
              <w:jc w:val="center"/>
            </w:pPr>
            <w:r>
              <w:rPr>
                <w:rFonts w:ascii="Times New Roman" w:eastAsia="Times New Roman" w:hAnsi="Times New Roman" w:cs="Times New Roman"/>
                <w:b/>
                <w:sz w:val="26"/>
              </w:rPr>
              <w:t>Số ký hiệu</w:t>
            </w:r>
          </w:p>
        </w:tc>
        <w:tc>
          <w:tcPr>
            <w:tcW w:w="3500" w:type="dxa"/>
          </w:tcPr>
          <w:p w:rsidR="005137A4" w:rsidRDefault="005137A4"/>
          <w:p w:rsidR="005137A4" w:rsidRDefault="009D1BDF">
            <w:pPr>
              <w:spacing w:after="0" w:line="276" w:lineRule="auto"/>
              <w:jc w:val="center"/>
            </w:pPr>
            <w:r>
              <w:rPr>
                <w:rFonts w:ascii="Times New Roman" w:eastAsia="Times New Roman" w:hAnsi="Times New Roman" w:cs="Times New Roman"/>
                <w:b/>
                <w:sz w:val="26"/>
              </w:rPr>
              <w:t>Trích yếu</w:t>
            </w:r>
          </w:p>
        </w:tc>
        <w:tc>
          <w:tcPr>
            <w:tcW w:w="1500" w:type="dxa"/>
          </w:tcPr>
          <w:p w:rsidR="005137A4" w:rsidRDefault="005137A4"/>
          <w:p w:rsidR="005137A4" w:rsidRDefault="009D1BDF">
            <w:pPr>
              <w:spacing w:after="0" w:line="276" w:lineRule="auto"/>
              <w:jc w:val="center"/>
            </w:pPr>
            <w:r>
              <w:rPr>
                <w:rFonts w:ascii="Times New Roman" w:eastAsia="Times New Roman" w:hAnsi="Times New Roman" w:cs="Times New Roman"/>
                <w:b/>
                <w:sz w:val="26"/>
              </w:rPr>
              <w:t>Ngày ban hành</w:t>
            </w:r>
          </w:p>
        </w:tc>
        <w:tc>
          <w:tcPr>
            <w:tcW w:w="3000" w:type="dxa"/>
          </w:tcPr>
          <w:p w:rsidR="005137A4" w:rsidRDefault="005137A4"/>
          <w:p w:rsidR="005137A4" w:rsidRDefault="009D1BDF">
            <w:pPr>
              <w:spacing w:after="0" w:line="276" w:lineRule="auto"/>
              <w:jc w:val="center"/>
            </w:pPr>
            <w:r>
              <w:rPr>
                <w:rFonts w:ascii="Times New Roman" w:eastAsia="Times New Roman" w:hAnsi="Times New Roman" w:cs="Times New Roman"/>
                <w:b/>
                <w:sz w:val="26"/>
              </w:rPr>
              <w:t>Cơ quan ban hành</w:t>
            </w:r>
          </w:p>
        </w:tc>
      </w:tr>
      <w:tr w:rsidR="005137A4">
        <w:tblPrEx>
          <w:tblCellMar>
            <w:top w:w="0" w:type="dxa"/>
            <w:bottom w:w="0" w:type="dxa"/>
          </w:tblCellMar>
        </w:tblPrEx>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t>165/2024/NĐ-CP</w:t>
            </w:r>
          </w:p>
        </w:tc>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t>Quy định chi tiết, hướng dẫn thi hành một số điều của Luật Đường bộ và Điều 77 Luật Trật tự, an toàn giao thông đường bộ.</w:t>
            </w:r>
          </w:p>
        </w:tc>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t>26-12-2024</w:t>
            </w:r>
          </w:p>
        </w:tc>
        <w:tc>
          <w:tcPr>
            <w:tcW w:w="0" w:type="auto"/>
          </w:tcPr>
          <w:p w:rsidR="005137A4" w:rsidRDefault="005137A4"/>
          <w:p w:rsidR="005137A4" w:rsidRDefault="009D1BDF">
            <w:pPr>
              <w:spacing w:after="0" w:line="276" w:lineRule="auto"/>
            </w:pPr>
            <w:r>
              <w:rPr>
                <w:rFonts w:ascii="Times New Roman" w:eastAsia="Times New Roman" w:hAnsi="Times New Roman" w:cs="Times New Roman"/>
                <w:sz w:val="26"/>
              </w:rPr>
              <w:t>Chính</w:t>
            </w:r>
            <w:r>
              <w:rPr>
                <w:rFonts w:ascii="Times New Roman" w:eastAsia="Times New Roman" w:hAnsi="Times New Roman" w:cs="Times New Roman"/>
                <w:sz w:val="26"/>
              </w:rPr>
              <w:t xml:space="preserve"> phủ</w:t>
            </w:r>
          </w:p>
        </w:tc>
      </w:tr>
    </w:tbl>
    <w:p w:rsidR="005137A4" w:rsidRDefault="009D1BDF">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Đáp ứng điều kiện quy định tại khoản 1, khoản 2, khoản 6 và khoản 7 Điều 28 Nghị định số 165/2024/NĐ-CP ngày 26/12/2024 của Chính phủ quy định chi tiết, hướng dẫn thi hành một số điều của Luật Đường bộ và Điều 77 Luật Tr</w:t>
      </w:r>
      <w:r>
        <w:rPr>
          <w:rFonts w:ascii="Times New Roman" w:eastAsia="Times New Roman" w:hAnsi="Times New Roman" w:cs="Times New Roman"/>
          <w:sz w:val="26"/>
        </w:rPr>
        <w:t>ật tự, an toàn giao thông đường bộ</w:t>
      </w:r>
    </w:p>
    <w:p w:rsidR="005137A4" w:rsidRDefault="009D1BDF">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5137A4" w:rsidRDefault="009D1BDF">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5137A4">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5137A4"/>
    <w:rsid w:val="005137A4"/>
    <w:rsid w:val="009D1BD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19C21A-AFDF-4362-9E71-A271ED1D8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698</Words>
  <Characters>3979</Characters>
  <Application>Microsoft Office Word</Application>
  <DocSecurity>0</DocSecurity>
  <Lines>33</Lines>
  <Paragraphs>9</Paragraphs>
  <ScaleCrop>false</ScaleCrop>
  <Company>Microsoft</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